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pStyle w:val="2"/>
        <w:ind w:left="0" w:leftChars="0" w:firstLine="0" w:firstLineChars="0"/>
        <w:rPr>
          <w:rFonts w:hint="eastAsia" w:ascii="Times New Roman" w:hAnsi="Times New Roman"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惠仲土挂告[2022] </w:t>
      </w:r>
      <w:r>
        <w:rPr>
          <w:rFonts w:hint="eastAsia" w:eastAsia="仿宋_GB2312" w:cs="仿宋_GB2312"/>
          <w:b w:val="0"/>
          <w:bCs w:val="0"/>
          <w:color w:val="auto"/>
          <w:sz w:val="32"/>
          <w:szCs w:val="32"/>
          <w:highlight w:val="none"/>
          <w:lang w:val="en-US" w:eastAsia="zh-CN"/>
        </w:rPr>
        <w:t>009</w:t>
      </w:r>
      <w:r>
        <w:rPr>
          <w:rFonts w:hint="eastAsia" w:ascii="Times New Roman" w:hAnsi="Times New Roman" w:eastAsia="仿宋_GB2312" w:cs="仿宋_GB2312"/>
          <w:b w:val="0"/>
          <w:bCs w:val="0"/>
          <w:color w:val="auto"/>
          <w:sz w:val="32"/>
          <w:szCs w:val="32"/>
          <w:highlight w:val="none"/>
        </w:rPr>
        <w:t> 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sz w:val="32"/>
          <w:szCs w:val="32"/>
        </w:rPr>
      </w:pPr>
      <w:bookmarkStart w:id="0" w:name="bookmark3"/>
      <w:r>
        <w:rPr>
          <w:rFonts w:hint="default" w:ascii="Times New Roman" w:hAnsi="Times New Roman" w:eastAsia="仿宋_GB2312" w:cs="Times New Roman"/>
          <w:color w:val="000000"/>
          <w:spacing w:val="0"/>
          <w:w w:val="100"/>
          <w:position w:val="0"/>
          <w:sz w:val="32"/>
          <w:szCs w:val="32"/>
        </w:rPr>
        <w:t>一</w:t>
      </w:r>
      <w:bookmarkEnd w:id="0"/>
      <w:r>
        <w:rPr>
          <w:rFonts w:hint="default" w:ascii="Times New Roman" w:hAnsi="Times New Roman" w:eastAsia="仿宋_GB2312" w:cs="Times New Roman"/>
          <w:color w:val="000000"/>
          <w:spacing w:val="0"/>
          <w:w w:val="100"/>
          <w:position w:val="0"/>
          <w:sz w:val="32"/>
          <w:szCs w:val="32"/>
        </w:rPr>
        <w:t>、网上挂牌出让地块基本情况及规划指标要求（见附表）</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sz w:val="32"/>
          <w:szCs w:val="32"/>
        </w:rPr>
      </w:pPr>
      <w:bookmarkStart w:id="1" w:name="bookmark4"/>
      <w:r>
        <w:rPr>
          <w:rFonts w:hint="default" w:ascii="Times New Roman" w:hAnsi="Times New Roman" w:eastAsia="仿宋_GB2312" w:cs="Times New Roman"/>
          <w:color w:val="000000"/>
          <w:spacing w:val="0"/>
          <w:w w:val="100"/>
          <w:position w:val="0"/>
          <w:sz w:val="32"/>
          <w:szCs w:val="32"/>
        </w:rPr>
        <w:t>二</w:t>
      </w:r>
      <w:bookmarkEnd w:id="1"/>
      <w:r>
        <w:rPr>
          <w:rFonts w:hint="default" w:ascii="Times New Roman" w:hAnsi="Times New Roman" w:eastAsia="仿宋_GB2312" w:cs="Times New Roman"/>
          <w:color w:val="000000"/>
          <w:spacing w:val="0"/>
          <w:w w:val="100"/>
          <w:position w:val="0"/>
          <w:sz w:val="32"/>
          <w:szCs w:val="32"/>
        </w:rPr>
        <w:t>、挂牌起始价及加价幅度</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default" w:ascii="Times New Roman" w:hAnsi="Times New Roman" w:eastAsia="仿宋_GB2312" w:cs="Times New Roman"/>
          <w:color w:val="000000"/>
          <w:spacing w:val="0"/>
          <w:w w:val="100"/>
          <w:position w:val="0"/>
          <w:sz w:val="32"/>
          <w:szCs w:val="32"/>
          <w:lang w:val="en-US" w:eastAsia="zh-CN"/>
        </w:rPr>
        <w:t>3474</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default" w:ascii="Times New Roman" w:hAnsi="Times New Roman" w:eastAsia="仿宋_GB2312" w:cs="Times New Roman"/>
          <w:color w:val="000000"/>
          <w:spacing w:val="0"/>
          <w:w w:val="100"/>
          <w:position w:val="0"/>
          <w:sz w:val="32"/>
          <w:szCs w:val="32"/>
          <w:highlight w:val="none"/>
          <w:lang w:val="en-US" w:eastAsia="zh-CN"/>
        </w:rPr>
        <w:t>35</w:t>
      </w:r>
      <w:r>
        <w:rPr>
          <w:rFonts w:hint="default" w:ascii="Times New Roman" w:hAnsi="Times New Roman" w:eastAsia="仿宋_GB2312" w:cs="Times New Roman"/>
          <w:color w:val="000000"/>
          <w:spacing w:val="0"/>
          <w:w w:val="100"/>
          <w:position w:val="0"/>
          <w:sz w:val="32"/>
          <w:szCs w:val="32"/>
        </w:rPr>
        <w:t>万元的整数倍。</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color w:val="000000"/>
          <w:spacing w:val="0"/>
          <w:w w:val="100"/>
          <w:position w:val="0"/>
          <w:sz w:val="32"/>
          <w:szCs w:val="32"/>
          <w:highlight w:val="none"/>
          <w:lang w:eastAsia="zh-CN"/>
        </w:rPr>
      </w:pPr>
      <w:bookmarkStart w:id="2" w:name="bookmark9"/>
      <w:r>
        <w:rPr>
          <w:rFonts w:hint="default" w:ascii="Times New Roman" w:hAnsi="Times New Roman" w:eastAsia="仿宋_GB2312" w:cs="Times New Roman"/>
          <w:color w:val="000000"/>
          <w:spacing w:val="0"/>
          <w:w w:val="100"/>
          <w:position w:val="0"/>
          <w:sz w:val="32"/>
          <w:szCs w:val="32"/>
          <w:highlight w:val="none"/>
        </w:rPr>
        <w:t>三、时间安排</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w:t>
      </w:r>
      <w:r>
        <w:rPr>
          <w:rFonts w:hint="default" w:ascii="Times New Roman" w:hAnsi="Times New Roman" w:eastAsia="仿宋_GB2312" w:cs="Times New Roman"/>
          <w:color w:val="000000"/>
          <w:spacing w:val="0"/>
          <w:w w:val="100"/>
          <w:position w:val="0"/>
          <w:sz w:val="32"/>
          <w:szCs w:val="32"/>
          <w:highlight w:val="none"/>
          <w:lang w:val="en-US" w:eastAsia="zh-CN"/>
        </w:rPr>
        <w:t>2022</w:t>
      </w:r>
      <w:r>
        <w:rPr>
          <w:rFonts w:hint="default" w:ascii="Times New Roman" w:hAnsi="Times New Roman" w:eastAsia="仿宋_GB2312" w:cs="Times New Roman"/>
          <w:color w:val="000000"/>
          <w:spacing w:val="0"/>
          <w:w w:val="100"/>
          <w:position w:val="0"/>
          <w:sz w:val="32"/>
          <w:szCs w:val="32"/>
          <w:highlight w:val="none"/>
        </w:rPr>
        <w:t>年</w:t>
      </w:r>
      <w:r>
        <w:rPr>
          <w:rFonts w:hint="default" w:ascii="Times New Roman" w:hAnsi="Times New Roman" w:eastAsia="仿宋_GB2312" w:cs="Times New Roman"/>
          <w:color w:val="000000"/>
          <w:spacing w:val="0"/>
          <w:w w:val="100"/>
          <w:position w:val="0"/>
          <w:sz w:val="32"/>
          <w:szCs w:val="32"/>
          <w:highlight w:val="none"/>
          <w:lang w:val="en-US" w:eastAsia="zh-CN"/>
        </w:rPr>
        <w:t>9</w:t>
      </w:r>
      <w:r>
        <w:rPr>
          <w:rFonts w:hint="default" w:ascii="Times New Roman" w:hAnsi="Times New Roman" w:eastAsia="仿宋_GB2312" w:cs="Times New Roman"/>
          <w:color w:val="000000"/>
          <w:spacing w:val="0"/>
          <w:w w:val="100"/>
          <w:position w:val="0"/>
          <w:sz w:val="32"/>
          <w:szCs w:val="32"/>
          <w:highlight w:val="none"/>
        </w:rPr>
        <w:t>月</w:t>
      </w:r>
      <w:r>
        <w:rPr>
          <w:rFonts w:hint="default" w:ascii="Times New Roman" w:hAnsi="Times New Roman" w:eastAsia="仿宋_GB2312" w:cs="Times New Roman"/>
          <w:color w:val="000000"/>
          <w:spacing w:val="0"/>
          <w:w w:val="100"/>
          <w:position w:val="0"/>
          <w:sz w:val="32"/>
          <w:szCs w:val="32"/>
          <w:highlight w:val="none"/>
          <w:lang w:val="en-US" w:eastAsia="zh-CN"/>
        </w:rPr>
        <w:t>30</w:t>
      </w:r>
      <w:r>
        <w:rPr>
          <w:rFonts w:hint="default" w:ascii="Times New Roman" w:hAnsi="Times New Roman" w:eastAsia="仿宋_GB2312" w:cs="Times New Roman"/>
          <w:color w:val="000000"/>
          <w:spacing w:val="0"/>
          <w:w w:val="100"/>
          <w:position w:val="0"/>
          <w:sz w:val="32"/>
          <w:szCs w:val="32"/>
          <w:highlight w:val="none"/>
        </w:rPr>
        <w:t>日至</w:t>
      </w:r>
      <w:r>
        <w:rPr>
          <w:rFonts w:hint="default" w:ascii="Times New Roman" w:hAnsi="Times New Roman" w:eastAsia="仿宋_GB2312" w:cs="Times New Roman"/>
          <w:color w:val="000000"/>
          <w:spacing w:val="0"/>
          <w:w w:val="100"/>
          <w:position w:val="0"/>
          <w:sz w:val="32"/>
          <w:szCs w:val="32"/>
          <w:highlight w:val="none"/>
          <w:lang w:val="en-US" w:eastAsia="zh-CN"/>
        </w:rPr>
        <w:t>2022年10月20日</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w:t>
      </w:r>
      <w:r>
        <w:rPr>
          <w:rFonts w:hint="default" w:ascii="Times New Roman" w:hAnsi="Times New Roman" w:eastAsia="仿宋_GB2312" w:cs="Times New Roman"/>
          <w:color w:val="000000"/>
          <w:spacing w:val="0"/>
          <w:w w:val="100"/>
          <w:position w:val="0"/>
          <w:sz w:val="32"/>
          <w:szCs w:val="32"/>
          <w:highlight w:val="none"/>
          <w:lang w:val="en-US" w:eastAsia="zh-CN"/>
        </w:rPr>
        <w:t>2022年10月20日9</w:t>
      </w:r>
      <w:r>
        <w:rPr>
          <w:rFonts w:hint="default" w:ascii="Times New Roman" w:hAnsi="Times New Roman" w:eastAsia="仿宋_GB2312" w:cs="Times New Roman"/>
          <w:color w:val="000000"/>
          <w:spacing w:val="0"/>
          <w:w w:val="100"/>
          <w:position w:val="0"/>
          <w:sz w:val="32"/>
          <w:szCs w:val="32"/>
          <w:highlight w:val="none"/>
        </w:rPr>
        <w:t>时至2022年1</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日10时。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lang w:eastAsia="zh-CN"/>
        </w:rPr>
        <w:t>（三）</w:t>
      </w:r>
      <w:r>
        <w:rPr>
          <w:rFonts w:hint="default" w:ascii="Times New Roman" w:hAnsi="Times New Roman" w:eastAsia="仿宋_GB2312" w:cs="Times New Roman"/>
          <w:color w:val="000000"/>
          <w:spacing w:val="0"/>
          <w:w w:val="100"/>
          <w:position w:val="0"/>
          <w:sz w:val="32"/>
          <w:szCs w:val="32"/>
          <w:highlight w:val="none"/>
        </w:rPr>
        <w:t>竞买保证金到账截止时间为：</w:t>
      </w:r>
      <w:r>
        <w:rPr>
          <w:rFonts w:hint="default" w:ascii="Times New Roman" w:hAnsi="Times New Roman" w:eastAsia="仿宋_GB2312" w:cs="Times New Roman"/>
          <w:color w:val="000000"/>
          <w:spacing w:val="0"/>
          <w:w w:val="100"/>
          <w:position w:val="0"/>
          <w:sz w:val="32"/>
          <w:szCs w:val="32"/>
          <w:highlight w:val="none"/>
          <w:lang w:val="en-US" w:eastAsia="zh-CN"/>
        </w:rPr>
        <w:t>2022</w:t>
      </w:r>
      <w:r>
        <w:rPr>
          <w:rFonts w:hint="default" w:ascii="Times New Roman" w:hAnsi="Times New Roman" w:eastAsia="仿宋_GB2312" w:cs="Times New Roman"/>
          <w:color w:val="000000"/>
          <w:spacing w:val="0"/>
          <w:w w:val="100"/>
          <w:position w:val="0"/>
          <w:sz w:val="32"/>
          <w:szCs w:val="32"/>
          <w:highlight w:val="none"/>
        </w:rPr>
        <w:t>年1</w:t>
      </w:r>
      <w:r>
        <w:rPr>
          <w:rFonts w:hint="default" w:ascii="Times New Roman" w:hAnsi="Times New Roman" w:eastAsia="仿宋_GB2312" w:cs="Times New Roman"/>
          <w:color w:val="000000"/>
          <w:spacing w:val="0"/>
          <w:w w:val="100"/>
          <w:position w:val="0"/>
          <w:sz w:val="32"/>
          <w:szCs w:val="32"/>
          <w:highlight w:val="none"/>
          <w:lang w:val="en-US" w:eastAsia="zh-CN"/>
        </w:rPr>
        <w:t>1</w:t>
      </w:r>
      <w:r>
        <w:rPr>
          <w:rFonts w:hint="default" w:ascii="Times New Roman" w:hAnsi="Times New Roman" w:eastAsia="仿宋_GB2312" w:cs="Times New Roman"/>
          <w:color w:val="000000"/>
          <w:spacing w:val="0"/>
          <w:w w:val="100"/>
          <w:position w:val="0"/>
          <w:sz w:val="32"/>
          <w:szCs w:val="32"/>
          <w:highlight w:val="none"/>
        </w:rPr>
        <w:t>月</w:t>
      </w:r>
      <w:r>
        <w:rPr>
          <w:rFonts w:hint="default"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日</w:t>
      </w:r>
      <w:r>
        <w:rPr>
          <w:rFonts w:hint="default" w:ascii="Times New Roman" w:hAnsi="Times New Roman" w:eastAsia="仿宋_GB2312" w:cs="Times New Roman"/>
          <w:color w:val="000000"/>
          <w:spacing w:val="0"/>
          <w:w w:val="100"/>
          <w:position w:val="0"/>
          <w:sz w:val="32"/>
          <w:szCs w:val="32"/>
          <w:highlight w:val="none"/>
          <w:lang w:val="en-US" w:eastAsia="zh-CN"/>
        </w:rPr>
        <w:t>9</w:t>
      </w:r>
      <w:r>
        <w:rPr>
          <w:rFonts w:hint="default" w:ascii="Times New Roman" w:hAnsi="Times New Roman" w:eastAsia="仿宋_GB2312" w:cs="Times New Roman"/>
          <w:color w:val="000000"/>
          <w:spacing w:val="0"/>
          <w:w w:val="100"/>
          <w:position w:val="0"/>
          <w:sz w:val="32"/>
          <w:szCs w:val="32"/>
          <w:highlight w:val="none"/>
        </w:rPr>
        <w:t>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四</w:t>
      </w:r>
      <w:bookmarkEnd w:id="2"/>
      <w:r>
        <w:rPr>
          <w:rFonts w:hint="default" w:ascii="Times New Roman" w:hAnsi="Times New Roman" w:eastAsia="仿宋_GB2312" w:cs="Times New Roman"/>
          <w:color w:val="000000"/>
          <w:spacing w:val="0"/>
          <w:w w:val="100"/>
          <w:position w:val="0"/>
          <w:sz w:val="32"/>
          <w:szCs w:val="32"/>
          <w:highlight w:val="none"/>
        </w:rPr>
        <w:t>、竞买资格及要求</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 规定外）具备本条规定条件的，均可申请参加竞买。申请人可以单独申请，也可以联合申请，竞买申请人必须同时具备下列条件:</w:t>
      </w:r>
    </w:p>
    <w:p>
      <w:pPr>
        <w:pStyle w:val="3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420" w:lineRule="exact"/>
        <w:ind w:left="0" w:right="0" w:firstLine="640"/>
        <w:jc w:val="both"/>
        <w:textAlignment w:val="auto"/>
        <w:rPr>
          <w:rFonts w:hint="default" w:ascii="Times New Roman" w:hAnsi="Times New Roman" w:eastAsia="仿宋_GB2312" w:cs="Times New Roman"/>
          <w:sz w:val="32"/>
          <w:szCs w:val="32"/>
        </w:rPr>
      </w:pPr>
      <w:bookmarkStart w:id="3" w:name="bookmark10"/>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default" w:ascii="Times New Roman" w:hAnsi="Times New Roman" w:eastAsia="仿宋_GB2312" w:cs="Times New Roman"/>
          <w:sz w:val="32"/>
          <w:szCs w:val="32"/>
          <w:highlight w:val="none"/>
          <w:lang w:val="en-US" w:eastAsia="zh-CN"/>
        </w:rPr>
        <w:t>695</w:t>
      </w:r>
      <w:r>
        <w:rPr>
          <w:rFonts w:hint="default" w:ascii="Times New Roman" w:hAnsi="Times New Roman" w:eastAsia="仿宋_GB2312" w:cs="Times New Roman"/>
          <w:color w:val="000000"/>
          <w:spacing w:val="0"/>
          <w:w w:val="100"/>
          <w:position w:val="0"/>
          <w:sz w:val="32"/>
          <w:szCs w:val="32"/>
        </w:rPr>
        <w:t>万元人民币；</w:t>
      </w:r>
    </w:p>
    <w:p>
      <w:pPr>
        <w:pStyle w:val="33"/>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420" w:lineRule="exact"/>
        <w:ind w:left="0" w:right="0" w:firstLine="640"/>
        <w:jc w:val="both"/>
        <w:textAlignment w:val="auto"/>
        <w:rPr>
          <w:rFonts w:hint="default" w:ascii="Times New Roman" w:hAnsi="Times New Roman" w:eastAsia="仿宋_GB2312" w:cs="Times New Roman"/>
          <w:sz w:val="32"/>
          <w:szCs w:val="32"/>
        </w:rPr>
      </w:pPr>
      <w:bookmarkStart w:id="4" w:name="bookmark11"/>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40"/>
        <w:jc w:val="both"/>
        <w:textAlignment w:val="auto"/>
        <w:rPr>
          <w:rFonts w:hint="default" w:ascii="Times New Roman" w:hAnsi="Times New Roman" w:eastAsia="仿宋_GB2312" w:cs="Times New Roman"/>
          <w:sz w:val="32"/>
          <w:szCs w:val="32"/>
        </w:rPr>
      </w:pPr>
      <w:bookmarkStart w:id="5" w:name="bookmark12"/>
      <w:r>
        <w:rPr>
          <w:rFonts w:hint="default" w:ascii="Times New Roman" w:hAnsi="Times New Roman" w:eastAsia="仿宋_GB2312" w:cs="Times New Roman"/>
          <w:color w:val="000000"/>
          <w:spacing w:val="0"/>
          <w:w w:val="100"/>
          <w:position w:val="0"/>
          <w:sz w:val="32"/>
          <w:szCs w:val="32"/>
        </w:rPr>
        <w:t>五</w:t>
      </w:r>
      <w:bookmarkEnd w:id="5"/>
      <w:r>
        <w:rPr>
          <w:rFonts w:hint="default" w:ascii="Times New Roman" w:hAnsi="Times New Roman" w:eastAsia="仿宋_GB2312" w:cs="Times New Roman"/>
          <w:color w:val="000000"/>
          <w:spacing w:val="0"/>
          <w:w w:val="100"/>
          <w:position w:val="0"/>
          <w:sz w:val="32"/>
          <w:szCs w:val="32"/>
        </w:rPr>
        <w:t>、需要说明的事项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bookmarkStart w:id="6" w:name="bookmark17"/>
      <w:r>
        <w:rPr>
          <w:rFonts w:hint="default" w:ascii="Times New Roman" w:hAnsi="Times New Roman" w:eastAsia="仿宋_GB2312" w:cs="Times New Roman"/>
          <w:color w:val="000000"/>
          <w:spacing w:val="0"/>
          <w:w w:val="100"/>
          <w:position w:val="0"/>
          <w:sz w:val="32"/>
          <w:szCs w:val="32"/>
        </w:rPr>
        <w:t>（一）在该</w:t>
      </w:r>
      <w:r>
        <w:rPr>
          <w:rFonts w:hint="default" w:ascii="Times New Roman" w:hAnsi="Times New Roman" w:eastAsia="仿宋_GB2312" w:cs="Times New Roman"/>
          <w:color w:val="000000"/>
          <w:spacing w:val="0"/>
          <w:w w:val="100"/>
          <w:position w:val="0"/>
          <w:sz w:val="32"/>
          <w:szCs w:val="32"/>
          <w:lang w:val="en-US" w:eastAsia="zh-CN"/>
        </w:rPr>
        <w:t>宗地</w:t>
      </w:r>
      <w:r>
        <w:rPr>
          <w:rFonts w:hint="default" w:ascii="Times New Roman" w:hAnsi="Times New Roman" w:eastAsia="仿宋_GB2312" w:cs="Times New Roman"/>
          <w:color w:val="000000"/>
          <w:spacing w:val="0"/>
          <w:w w:val="100"/>
          <w:position w:val="0"/>
          <w:sz w:val="32"/>
          <w:szCs w:val="32"/>
        </w:rPr>
        <w:t>西北侧约1.8千米处，规划了一处垃圾焚烧厂</w:t>
      </w:r>
      <w:r>
        <w:rPr>
          <w:rFonts w:hint="default" w:ascii="Times New Roman" w:hAnsi="Times New Roman" w:eastAsia="仿宋_GB2312" w:cs="Times New Roman"/>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）该宗地产权清晰、征地有关安置补偿已落实到位、不存在任何纠纷，地块周边基础设施已基本配套，具备动工建设所必需的条件；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）非</w:t>
      </w:r>
      <w:r>
        <w:rPr>
          <w:rFonts w:hint="default" w:ascii="Times New Roman" w:hAnsi="Times New Roman" w:eastAsia="仿宋_GB2312" w:cs="Times New Roman"/>
          <w:color w:val="000000"/>
          <w:spacing w:val="0"/>
          <w:w w:val="100"/>
          <w:position w:val="0"/>
          <w:sz w:val="32"/>
          <w:szCs w:val="32"/>
          <w:lang w:val="en-US" w:eastAsia="zh-CN"/>
        </w:rPr>
        <w:t>仲恺高新区</w:t>
      </w:r>
      <w:r>
        <w:rPr>
          <w:rFonts w:hint="default" w:ascii="Times New Roman" w:hAnsi="Times New Roman" w:eastAsia="仿宋_GB2312" w:cs="Times New Roman"/>
          <w:color w:val="000000"/>
          <w:spacing w:val="0"/>
          <w:w w:val="100"/>
          <w:position w:val="0"/>
          <w:sz w:val="32"/>
          <w:szCs w:val="32"/>
        </w:rPr>
        <w:t>注册登记的企业竞得土地使用权的，必须在竞得土地后2个月内在</w:t>
      </w:r>
      <w:r>
        <w:rPr>
          <w:rFonts w:hint="default" w:ascii="Times New Roman" w:hAnsi="Times New Roman" w:eastAsia="仿宋_GB2312" w:cs="Times New Roman"/>
          <w:color w:val="000000"/>
          <w:spacing w:val="0"/>
          <w:w w:val="100"/>
          <w:position w:val="0"/>
          <w:sz w:val="32"/>
          <w:szCs w:val="32"/>
          <w:lang w:val="en-US" w:eastAsia="zh-CN"/>
        </w:rPr>
        <w:t>仲恺高新区</w:t>
      </w:r>
      <w:r>
        <w:rPr>
          <w:rFonts w:hint="default" w:ascii="Times New Roman" w:hAnsi="Times New Roman" w:eastAsia="仿宋_GB2312" w:cs="Times New Roman"/>
          <w:color w:val="000000"/>
          <w:spacing w:val="0"/>
          <w:w w:val="100"/>
          <w:position w:val="0"/>
          <w:sz w:val="32"/>
          <w:szCs w:val="32"/>
        </w:rPr>
        <w:t>市场监督管理部门注册成立项目开发公司，并以该公司名义办理土地出让与登记发证手续；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）竞得人须在签订《国有建设用地使用权出让合同》（以下简称“《出让合同》”）时，提交惠州仲恺高新技术</w:t>
      </w:r>
      <w:r>
        <w:rPr>
          <w:rFonts w:hint="default" w:ascii="Times New Roman" w:hAnsi="Times New Roman" w:eastAsia="仿宋_GB2312" w:cs="Times New Roman"/>
          <w:color w:val="000000"/>
          <w:spacing w:val="0"/>
          <w:w w:val="100"/>
          <w:position w:val="0"/>
          <w:sz w:val="32"/>
          <w:szCs w:val="32"/>
          <w:lang w:val="en-US" w:eastAsia="zh-CN"/>
        </w:rPr>
        <w:t>产业</w:t>
      </w:r>
      <w:r>
        <w:rPr>
          <w:rFonts w:hint="default" w:ascii="Times New Roman" w:hAnsi="Times New Roman" w:eastAsia="仿宋_GB2312" w:cs="Times New Roman"/>
          <w:color w:val="000000"/>
          <w:spacing w:val="0"/>
          <w:w w:val="100"/>
          <w:position w:val="0"/>
          <w:sz w:val="32"/>
          <w:szCs w:val="32"/>
        </w:rPr>
        <w:t>开发区科技创新局出具的与该宗地产业类型一致的优先发展产业项目文件</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并</w:t>
      </w:r>
      <w:r>
        <w:rPr>
          <w:rFonts w:hint="default" w:ascii="Times New Roman" w:hAnsi="Times New Roman" w:eastAsia="仿宋_GB2312" w:cs="Times New Roman"/>
          <w:color w:val="000000"/>
          <w:spacing w:val="0"/>
          <w:w w:val="100"/>
          <w:position w:val="0"/>
          <w:sz w:val="32"/>
          <w:szCs w:val="32"/>
        </w:rPr>
        <w:t>同步与</w:t>
      </w:r>
      <w:r>
        <w:rPr>
          <w:rFonts w:hint="default" w:ascii="Times New Roman" w:hAnsi="Times New Roman" w:eastAsia="仿宋_GB2312" w:cs="Times New Roman"/>
          <w:color w:val="000000"/>
          <w:spacing w:val="0"/>
          <w:w w:val="100"/>
          <w:position w:val="0"/>
          <w:sz w:val="32"/>
          <w:szCs w:val="32"/>
          <w:lang w:val="en-US" w:eastAsia="zh-CN"/>
        </w:rPr>
        <w:t>惠州潼湖生态智慧区管理委员会</w:t>
      </w:r>
      <w:r>
        <w:rPr>
          <w:rFonts w:hint="default" w:ascii="Times New Roman" w:hAnsi="Times New Roman" w:eastAsia="仿宋_GB2312" w:cs="Times New Roman"/>
          <w:color w:val="000000"/>
          <w:spacing w:val="0"/>
          <w:w w:val="100"/>
          <w:position w:val="0"/>
          <w:sz w:val="32"/>
          <w:szCs w:val="32"/>
        </w:rPr>
        <w:t>签订《</w:t>
      </w:r>
      <w:r>
        <w:rPr>
          <w:rFonts w:hint="default" w:ascii="Times New Roman" w:hAnsi="Times New Roman" w:eastAsia="仿宋_GB2312" w:cs="Times New Roman"/>
          <w:color w:val="000000"/>
          <w:spacing w:val="0"/>
          <w:w w:val="100"/>
          <w:position w:val="0"/>
          <w:sz w:val="32"/>
          <w:szCs w:val="32"/>
          <w:lang w:val="en-US" w:eastAsia="zh-CN"/>
        </w:rPr>
        <w:t>仲恺高新区产业项目投资建设协议书</w:t>
      </w:r>
      <w:r>
        <w:rPr>
          <w:rFonts w:hint="default" w:ascii="Times New Roman" w:hAnsi="Times New Roman" w:eastAsia="仿宋_GB2312" w:cs="Times New Roman"/>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六</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项目未达到本</w:t>
      </w:r>
      <w:r>
        <w:rPr>
          <w:rFonts w:hint="eastAsia" w:ascii="Times New Roman" w:hAnsi="Times New Roman" w:eastAsia="仿宋_GB2312" w:cs="Times New Roman"/>
          <w:color w:val="000000"/>
          <w:spacing w:val="0"/>
          <w:w w:val="100"/>
          <w:position w:val="0"/>
          <w:sz w:val="32"/>
          <w:szCs w:val="32"/>
          <w:lang w:val="en-US" w:eastAsia="zh-CN"/>
        </w:rPr>
        <w:t>公告</w:t>
      </w:r>
      <w:r>
        <w:rPr>
          <w:rFonts w:hint="default" w:ascii="Times New Roman" w:hAnsi="Times New Roman" w:eastAsia="仿宋_GB2312" w:cs="Times New Roman"/>
          <w:color w:val="000000"/>
          <w:spacing w:val="0"/>
          <w:w w:val="100"/>
          <w:position w:val="0"/>
          <w:sz w:val="32"/>
          <w:szCs w:val="32"/>
        </w:rPr>
        <w:t>规定的集约用地指标或者非优先发展产业的，用地单位必须按《出让合同》及《</w:t>
      </w:r>
      <w:r>
        <w:rPr>
          <w:rFonts w:hint="default" w:ascii="Times New Roman" w:hAnsi="Times New Roman" w:eastAsia="仿宋_GB2312" w:cs="Times New Roman"/>
          <w:color w:val="000000"/>
          <w:spacing w:val="0"/>
          <w:w w:val="100"/>
          <w:position w:val="0"/>
          <w:sz w:val="32"/>
          <w:szCs w:val="32"/>
          <w:lang w:val="en-US" w:eastAsia="zh-CN"/>
        </w:rPr>
        <w:t>仲恺高新区产业项目投资建设协议书</w:t>
      </w:r>
      <w:r>
        <w:rPr>
          <w:rFonts w:hint="default" w:ascii="Times New Roman" w:hAnsi="Times New Roman" w:eastAsia="仿宋_GB2312" w:cs="Times New Roman"/>
          <w:color w:val="000000"/>
          <w:spacing w:val="0"/>
          <w:w w:val="100"/>
          <w:position w:val="0"/>
          <w:sz w:val="32"/>
          <w:szCs w:val="32"/>
        </w:rPr>
        <w:t>》的约定补缴土地出让金及缴交违约金,补缴土地出让金由仲恺高新区国土资源分局委托评估机构进行评估确定，估价期日应以国土资源主管部门依法受理补缴地价申请时点为准；由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000000"/>
          <w:spacing w:val="0"/>
          <w:w w:val="100"/>
          <w:position w:val="0"/>
          <w:sz w:val="32"/>
          <w:szCs w:val="32"/>
          <w:lang w:val="en-US" w:eastAsia="zh-CN"/>
        </w:rPr>
        <w:t>惠州潼湖生态智慧区管理委员会</w:t>
      </w:r>
      <w:r>
        <w:rPr>
          <w:rFonts w:hint="default" w:ascii="Times New Roman" w:hAnsi="Times New Roman" w:eastAsia="仿宋_GB2312" w:cs="Times New Roman"/>
          <w:color w:val="000000"/>
          <w:spacing w:val="0"/>
          <w:w w:val="100"/>
          <w:position w:val="0"/>
          <w:sz w:val="32"/>
          <w:szCs w:val="32"/>
        </w:rPr>
        <w:t>负责对竞得人履行《</w:t>
      </w:r>
      <w:r>
        <w:rPr>
          <w:rFonts w:hint="default" w:ascii="Times New Roman" w:hAnsi="Times New Roman" w:eastAsia="仿宋_GB2312" w:cs="Times New Roman"/>
          <w:color w:val="000000"/>
          <w:spacing w:val="0"/>
          <w:w w:val="100"/>
          <w:position w:val="0"/>
          <w:sz w:val="32"/>
          <w:szCs w:val="32"/>
          <w:lang w:val="en-US" w:eastAsia="zh-CN"/>
        </w:rPr>
        <w:t>仲恺高新区产业项目投资建设协议书</w:t>
      </w:r>
      <w:r>
        <w:rPr>
          <w:rFonts w:hint="default" w:ascii="Times New Roman" w:hAnsi="Times New Roman" w:eastAsia="仿宋_GB2312" w:cs="Times New Roman"/>
          <w:color w:val="000000"/>
          <w:spacing w:val="0"/>
          <w:w w:val="100"/>
          <w:position w:val="0"/>
          <w:sz w:val="32"/>
          <w:szCs w:val="32"/>
        </w:rPr>
        <w:t>》的后续监管职责。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六</w:t>
      </w:r>
      <w:bookmarkEnd w:id="6"/>
      <w:r>
        <w:rPr>
          <w:rFonts w:hint="default" w:ascii="Times New Roman" w:hAnsi="Times New Roman" w:eastAsia="仿宋_GB2312" w:cs="Times New Roman"/>
          <w:color w:val="000000"/>
          <w:spacing w:val="0"/>
          <w:w w:val="100"/>
          <w:position w:val="0"/>
          <w:sz w:val="32"/>
          <w:szCs w:val="32"/>
        </w:rPr>
        <w:t>、竞买保证金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bookmarkStart w:id="7" w:name="bookmark18"/>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一）该宗地竞买保证金为人民币</w:t>
      </w:r>
      <w:r>
        <w:rPr>
          <w:rFonts w:hint="default" w:ascii="Times New Roman" w:hAnsi="Times New Roman" w:eastAsia="仿宋_GB2312" w:cs="Times New Roman"/>
          <w:sz w:val="32"/>
          <w:szCs w:val="32"/>
          <w:highlight w:val="none"/>
          <w:lang w:val="en-US" w:eastAsia="zh-CN"/>
        </w:rPr>
        <w:t>695</w:t>
      </w:r>
      <w:r>
        <w:rPr>
          <w:rFonts w:hint="default" w:ascii="Times New Roman" w:hAnsi="Times New Roman" w:eastAsia="仿宋_GB2312" w:cs="Times New Roman"/>
          <w:color w:val="000000"/>
          <w:spacing w:val="0"/>
          <w:w w:val="100"/>
          <w:position w:val="0"/>
          <w:sz w:val="32"/>
          <w:szCs w:val="32"/>
        </w:rPr>
        <w:t>万元</w:t>
      </w:r>
      <w:r>
        <w:rPr>
          <w:rFonts w:hint="default" w:ascii="Times New Roman" w:hAnsi="Times New Roman" w:eastAsia="仿宋_GB2312" w:cs="Times New Roman"/>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bookmarkStart w:id="8" w:name="bookmark19"/>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r>
        <w:rPr>
          <w:rFonts w:hint="default" w:ascii="Times New Roman" w:hAnsi="Times New Roman" w:eastAsia="仿宋_GB2312" w:cs="Times New Roman"/>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9" w:name="bookmark20"/>
      <w:r>
        <w:rPr>
          <w:rFonts w:hint="default" w:ascii="Times New Roman" w:hAnsi="Times New Roman" w:eastAsia="仿宋_GB2312" w:cs="Times New Roman"/>
          <w:color w:val="000000"/>
          <w:spacing w:val="0"/>
          <w:w w:val="100"/>
          <w:position w:val="0"/>
          <w:sz w:val="32"/>
          <w:szCs w:val="32"/>
        </w:rPr>
        <w:t>（</w:t>
      </w:r>
      <w:bookmarkEnd w:id="9"/>
      <w:r>
        <w:rPr>
          <w:rFonts w:hint="default" w:ascii="Times New Roman" w:hAnsi="Times New Roman" w:eastAsia="仿宋_GB2312" w:cs="Times New Roman"/>
          <w:color w:val="000000"/>
          <w:spacing w:val="0"/>
          <w:w w:val="100"/>
          <w:position w:val="0"/>
          <w:sz w:val="32"/>
          <w:szCs w:val="32"/>
        </w:rPr>
        <w:t>三）竞买保证金到账时间以网上挂牌交易系统确认并发出《保证金到账通知书》为准。</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sz w:val="32"/>
          <w:szCs w:val="32"/>
        </w:rPr>
      </w:pPr>
      <w:bookmarkStart w:id="10" w:name="bookmark21"/>
      <w:r>
        <w:rPr>
          <w:rFonts w:hint="default" w:ascii="Times New Roman" w:hAnsi="Times New Roman" w:eastAsia="仿宋_GB2312" w:cs="Times New Roman"/>
          <w:color w:val="000000"/>
          <w:spacing w:val="0"/>
          <w:w w:val="100"/>
          <w:position w:val="0"/>
          <w:sz w:val="32"/>
          <w:szCs w:val="32"/>
        </w:rPr>
        <w:t>七</w:t>
      </w:r>
      <w:bookmarkEnd w:id="10"/>
      <w:r>
        <w:rPr>
          <w:rFonts w:hint="default" w:ascii="Times New Roman" w:hAnsi="Times New Roman" w:eastAsia="仿宋_GB2312" w:cs="Times New Roman"/>
          <w:color w:val="000000"/>
          <w:spacing w:val="0"/>
          <w:w w:val="100"/>
          <w:position w:val="0"/>
          <w:sz w:val="32"/>
          <w:szCs w:val="32"/>
        </w:rPr>
        <w:t>、竞买申请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1" w:name="bookmark22"/>
      <w:r>
        <w:rPr>
          <w:rFonts w:hint="default" w:ascii="Times New Roman" w:hAnsi="Times New Roman" w:eastAsia="仿宋_GB2312" w:cs="Times New Roman"/>
          <w:color w:val="000000"/>
          <w:spacing w:val="0"/>
          <w:w w:val="100"/>
          <w:position w:val="0"/>
          <w:sz w:val="32"/>
          <w:szCs w:val="32"/>
        </w:rPr>
        <w:t>八</w:t>
      </w:r>
      <w:bookmarkEnd w:id="11"/>
      <w:r>
        <w:rPr>
          <w:rFonts w:hint="default" w:ascii="Times New Roman" w:hAnsi="Times New Roman" w:eastAsia="仿宋_GB2312" w:cs="Times New Roman"/>
          <w:color w:val="000000"/>
          <w:spacing w:val="0"/>
          <w:w w:val="100"/>
          <w:position w:val="0"/>
          <w:sz w:val="32"/>
          <w:szCs w:val="32"/>
        </w:rPr>
        <w:t>、竞买人电子报价及电子限时竞价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2" w:name="bookmark23"/>
      <w:r>
        <w:rPr>
          <w:rFonts w:hint="default" w:ascii="Times New Roman" w:hAnsi="Times New Roman" w:eastAsia="仿宋_GB2312" w:cs="Times New Roman"/>
          <w:color w:val="000000"/>
          <w:spacing w:val="0"/>
          <w:w w:val="100"/>
          <w:position w:val="0"/>
          <w:sz w:val="32"/>
          <w:szCs w:val="32"/>
        </w:rPr>
        <w:t>九</w:t>
      </w:r>
      <w:bookmarkEnd w:id="12"/>
      <w:r>
        <w:rPr>
          <w:rFonts w:hint="default" w:ascii="Times New Roman" w:hAnsi="Times New Roman" w:eastAsia="仿宋_GB2312" w:cs="Times New Roman"/>
          <w:color w:val="000000"/>
          <w:spacing w:val="0"/>
          <w:w w:val="100"/>
          <w:position w:val="0"/>
          <w:sz w:val="32"/>
          <w:szCs w:val="32"/>
        </w:rPr>
        <w:t>、确定成交候选人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十、资格审查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w:t>
      </w:r>
      <w:r>
        <w:rPr>
          <w:rFonts w:hint="default" w:ascii="Times New Roman" w:hAnsi="Times New Roman" w:eastAsia="仿宋_GB2312" w:cs="Times New Roman"/>
          <w:color w:val="000000"/>
          <w:spacing w:val="0"/>
          <w:w w:val="100"/>
          <w:position w:val="0"/>
          <w:sz w:val="32"/>
          <w:szCs w:val="32"/>
          <w:lang w:val="en-US" w:eastAsia="zh-CN"/>
        </w:rPr>
        <w:t>5</w:t>
      </w:r>
      <w:r>
        <w:rPr>
          <w:rFonts w:hint="default" w:ascii="Times New Roman" w:hAnsi="Times New Roman" w:eastAsia="仿宋_GB2312" w:cs="Times New Roman"/>
          <w:color w:val="000000"/>
          <w:spacing w:val="0"/>
          <w:w w:val="100"/>
          <w:position w:val="0"/>
          <w:sz w:val="32"/>
          <w:szCs w:val="32"/>
        </w:rPr>
        <w:t>个工作日内将竞买申请纸质材料提交至我局，由我局对竞买资格进行审查。我局将于</w:t>
      </w:r>
      <w:r>
        <w:rPr>
          <w:rFonts w:hint="default" w:ascii="Times New Roman" w:hAnsi="Times New Roman" w:eastAsia="仿宋_GB2312" w:cs="Times New Roman"/>
          <w:color w:val="000000"/>
          <w:spacing w:val="0"/>
          <w:w w:val="100"/>
          <w:position w:val="0"/>
          <w:sz w:val="32"/>
          <w:szCs w:val="32"/>
          <w:lang w:val="en-US" w:eastAsia="zh-CN"/>
        </w:rPr>
        <w:t>2022</w:t>
      </w:r>
      <w:r>
        <w:rPr>
          <w:rFonts w:hint="default" w:ascii="Times New Roman" w:hAnsi="Times New Roman" w:eastAsia="仿宋_GB2312" w:cs="Times New Roman"/>
          <w:color w:val="000000"/>
          <w:spacing w:val="0"/>
          <w:w w:val="100"/>
          <w:position w:val="0"/>
          <w:sz w:val="32"/>
          <w:szCs w:val="32"/>
        </w:rPr>
        <w:t>年</w:t>
      </w:r>
      <w:r>
        <w:rPr>
          <w:rFonts w:hint="default" w:ascii="Times New Roman" w:hAnsi="Times New Roman" w:eastAsia="仿宋_GB2312" w:cs="Times New Roman"/>
          <w:color w:val="000000"/>
          <w:spacing w:val="0"/>
          <w:w w:val="100"/>
          <w:position w:val="0"/>
          <w:sz w:val="32"/>
          <w:szCs w:val="32"/>
          <w:lang w:val="en-US" w:eastAsia="zh-CN"/>
        </w:rPr>
        <w:t>11</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 xml:space="preserve">日前确定符合竞买资格的成交候选人为竞得人。 </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3" w:name="bookmark24"/>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一）《竞买申请书》（加盖公章）；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4" w:name="bookmark25"/>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二）《竞价结果通知书》（加盖公章）；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5" w:name="bookmark26"/>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6" w:name="bookmark27"/>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7" w:name="bookmark28"/>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8" w:name="bookmark29"/>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19" w:name="bookmark30"/>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十一、签订成交确认书、出让合同及支付土地出让金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十二、竞买保证金退还或转付成交价款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十三、违规责任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0" w:name="bookmark31"/>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一）不符合竞买资格条件的；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1" w:name="bookmark32"/>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2" w:name="bookmark33"/>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bookmarkStart w:id="23" w:name="bookmark34"/>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default" w:ascii="Times New Roman" w:hAnsi="Times New Roman" w:eastAsia="仿宋_GB2312" w:cs="Times New Roman"/>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十四、其他需要公告的事项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4" w:name="bookmark35"/>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5" w:name="bookmark36"/>
      <w:r>
        <w:rPr>
          <w:rFonts w:hint="default" w:ascii="Times New Roman" w:hAnsi="Times New Roman" w:eastAsia="仿宋_GB2312" w:cs="Times New Roman"/>
          <w:color w:val="000000"/>
          <w:spacing w:val="0"/>
          <w:w w:val="100"/>
          <w:position w:val="0"/>
          <w:sz w:val="32"/>
          <w:szCs w:val="32"/>
          <w:lang w:val="zh-CN" w:eastAsia="zh-CN"/>
        </w:rPr>
        <w:t>（</w:t>
      </w:r>
      <w:bookmarkEnd w:id="25"/>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6" w:name="bookmark37"/>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7" w:name="bookmark38"/>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w:t>
      </w:r>
      <w:r>
        <w:rPr>
          <w:rFonts w:hint="default" w:ascii="Times New Roman" w:hAnsi="Times New Roman" w:eastAsia="仿宋_GB2312" w:cs="Times New Roman"/>
          <w:color w:val="000000"/>
          <w:spacing w:val="0"/>
          <w:w w:val="100"/>
          <w:position w:val="0"/>
          <w:sz w:val="32"/>
          <w:szCs w:val="32"/>
          <w:highlight w:val="none"/>
        </w:rPr>
        <w:t>付土地；动、竣工时间按《</w:t>
      </w:r>
      <w:r>
        <w:rPr>
          <w:rFonts w:hint="default" w:ascii="Times New Roman" w:hAnsi="Times New Roman" w:eastAsia="仿宋_GB2312" w:cs="Times New Roman"/>
          <w:color w:val="000000"/>
          <w:spacing w:val="0"/>
          <w:w w:val="100"/>
          <w:position w:val="0"/>
          <w:sz w:val="32"/>
          <w:szCs w:val="32"/>
          <w:highlight w:val="none"/>
          <w:lang w:val="en-US" w:eastAsia="zh-CN"/>
        </w:rPr>
        <w:t>仲恺高新区产业项目投资建设协议书</w:t>
      </w:r>
      <w:r>
        <w:rPr>
          <w:rFonts w:hint="default" w:ascii="Times New Roman" w:hAnsi="Times New Roman" w:eastAsia="仿宋_GB2312" w:cs="Times New Roman"/>
          <w:color w:val="000000"/>
          <w:spacing w:val="0"/>
          <w:w w:val="100"/>
          <w:position w:val="0"/>
          <w:sz w:val="32"/>
          <w:szCs w:val="32"/>
          <w:highlight w:val="none"/>
        </w:rPr>
        <w:t>》执行</w:t>
      </w:r>
      <w:r>
        <w:rPr>
          <w:rFonts w:hint="default" w:ascii="Times New Roman" w:hAnsi="Times New Roman" w:eastAsia="仿宋_GB2312" w:cs="Times New Roman"/>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bookmarkStart w:id="28" w:name="bookmark39"/>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en-US" w:eastAsia="zh-CN"/>
        </w:rPr>
        <w:t>十五、</w:t>
      </w:r>
      <w:r>
        <w:rPr>
          <w:rFonts w:hint="default" w:ascii="Times New Roman" w:hAnsi="Times New Roman" w:eastAsia="仿宋_GB2312" w:cs="Times New Roman"/>
          <w:color w:val="000000"/>
          <w:spacing w:val="0"/>
          <w:w w:val="100"/>
          <w:position w:val="0"/>
          <w:sz w:val="32"/>
          <w:szCs w:val="32"/>
        </w:rPr>
        <w:t>联系方式：</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default" w:ascii="Times New Roman" w:hAnsi="Times New Roman" w:eastAsia="仿宋_GB2312" w:cs="Times New Roman"/>
          <w:color w:val="000000"/>
          <w:spacing w:val="0"/>
          <w:w w:val="100"/>
          <w:position w:val="0"/>
          <w:sz w:val="32"/>
          <w:szCs w:val="32"/>
          <w:lang w:val="en-US" w:eastAsia="zh-CN"/>
        </w:rPr>
        <w:t>张懿南</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w:t>
      </w:r>
      <w:r>
        <w:rPr>
          <w:rFonts w:hint="default" w:ascii="Times New Roman" w:hAnsi="Times New Roman" w:eastAsia="仿宋_GB2312" w:cs="Times New Roman"/>
          <w:color w:val="000000"/>
          <w:spacing w:val="0"/>
          <w:w w:val="100"/>
          <w:position w:val="0"/>
          <w:sz w:val="32"/>
          <w:szCs w:val="32"/>
          <w:lang w:val="en-US" w:eastAsia="zh-CN"/>
        </w:rPr>
        <w:t>636</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default" w:ascii="Times New Roman" w:hAnsi="Times New Roman" w:eastAsia="仿宋_GB2312" w:cs="Times New Roman"/>
          <w:color w:val="000000"/>
          <w:spacing w:val="0"/>
          <w:w w:val="100"/>
          <w:position w:val="0"/>
          <w:sz w:val="32"/>
          <w:szCs w:val="32"/>
        </w:rPr>
        <w:t>房曦</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hint="default" w:ascii="Times New Roman" w:hAnsi="Times New Roman" w:eastAsia="仿宋_GB2312" w:cs="Times New Roman"/>
          <w:color w:val="000000"/>
          <w:spacing w:val="0"/>
          <w:w w:val="100"/>
          <w:position w:val="0"/>
          <w:sz w:val="32"/>
          <w:szCs w:val="32"/>
        </w:rPr>
      </w:pP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pPr>
      <w:r>
        <w:rPr>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fldChar w:fldCharType="begin"/>
      </w:r>
      <w:r>
        <w:rPr>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instrText xml:space="preserve"> HYPERLINK "http://www.hzzk.gov.cn/gwhbm/hzsggzyjyzxzzfzx/index.html" </w:instrText>
      </w:r>
      <w:r>
        <w:rPr>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fldChar w:fldCharType="separate"/>
      </w:r>
      <w:r>
        <w:rPr>
          <w:rStyle w:val="15"/>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t>http://www.hzzk.gov.cn/gwhbm/hzsggzyjyzxzzfzx/index.html</w:t>
      </w:r>
      <w:r>
        <w:rPr>
          <w:rFonts w:hint="default" w:ascii="Times New Roman" w:hAnsi="Times New Roman" w:eastAsia="仿宋_GB2312" w:cs="Times New Roman"/>
          <w:color w:val="auto"/>
          <w:spacing w:val="0"/>
          <w:w w:val="100"/>
          <w:position w:val="0"/>
          <w:sz w:val="32"/>
          <w:szCs w:val="32"/>
          <w:highlight w:val="none"/>
          <w:shd w:val="clear" w:color="auto" w:fill="auto"/>
          <w:lang w:val="zh-TW" w:eastAsia="zh-TW"/>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数字证书办理地址：广东省惠州市惠城区三新北路31号市民服务中心3号楼惠州市公共资源交易中心一楼大厅1号土地与矿业交易窗口。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惠州市仲恺高新区国土资源分局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val="0"/>
          <w:bCs w:val="0"/>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日</w:t>
      </w:r>
    </w:p>
    <w:p>
      <w:pPr>
        <w:pStyle w:val="4"/>
        <w:keepNext w:val="0"/>
        <w:keepLines w:val="0"/>
        <w:pageBreakBefore w:val="0"/>
        <w:kinsoku/>
        <w:wordWrap/>
        <w:overflowPunct/>
        <w:topLinePunct w:val="0"/>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9"/>
        <w:tblpPr w:leftFromText="180" w:rightFromText="180" w:vertAnchor="text" w:horzAnchor="page" w:tblpX="681" w:tblpY="103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9"/>
        <w:gridCol w:w="634"/>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3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3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w:t>
            </w:r>
            <w:r>
              <w:rPr>
                <w:rFonts w:hint="default" w:ascii="Times New Roman" w:hAnsi="Times New Roman" w:cs="Times New Roman"/>
                <w:b w:val="0"/>
                <w:bCs w:val="0"/>
                <w:color w:val="auto"/>
                <w:sz w:val="18"/>
                <w:szCs w:val="18"/>
                <w:highlight w:val="none"/>
                <w:vertAlign w:val="baseline"/>
                <w:lang w:val="en-US" w:eastAsia="zh-CN"/>
              </w:rPr>
              <w:t>系数</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jc w:val="center"/>
        </w:trPr>
        <w:tc>
          <w:tcPr>
            <w:tcW w:w="790"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009</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default" w:ascii="Times New Roman" w:hAnsi="Times New Roman" w:cs="Times New Roman"/>
                <w:b w:val="0"/>
                <w:bCs w:val="0"/>
                <w:color w:val="auto"/>
                <w:sz w:val="18"/>
                <w:szCs w:val="18"/>
                <w:highlight w:val="none"/>
                <w:vertAlign w:val="baseline"/>
                <w:lang w:val="en-US" w:eastAsia="zh-CN"/>
              </w:rPr>
              <w:t>潼湖镇</w:t>
            </w:r>
          </w:p>
        </w:tc>
        <w:tc>
          <w:tcPr>
            <w:tcW w:w="5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ZKD-010-27-02</w:t>
            </w:r>
            <w:r>
              <w:rPr>
                <w:rFonts w:hint="default" w:ascii="Times New Roman" w:hAnsi="Times New Roman" w:cs="Times New Roman"/>
                <w:b w:val="0"/>
                <w:bCs w:val="0"/>
                <w:color w:val="auto"/>
                <w:sz w:val="18"/>
                <w:szCs w:val="18"/>
                <w:highlight w:val="none"/>
                <w:vertAlign w:val="baseline"/>
                <w:lang w:val="en-US" w:eastAsia="zh-CN"/>
              </w:rPr>
              <w:t>-01</w:t>
            </w:r>
          </w:p>
        </w:tc>
        <w:tc>
          <w:tcPr>
            <w:tcW w:w="77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33331</w:t>
            </w:r>
            <w:r>
              <w:rPr>
                <w:rFonts w:hint="default" w:ascii="Times New Roman" w:hAnsi="Times New Roman" w:eastAsia="宋体" w:cs="Times New Roman"/>
                <w:b w:val="0"/>
                <w:bCs w:val="0"/>
                <w:color w:val="auto"/>
                <w:sz w:val="18"/>
                <w:szCs w:val="18"/>
                <w:highlight w:val="none"/>
                <w:vertAlign w:val="baseline"/>
                <w:lang w:val="en-US" w:eastAsia="zh-CN"/>
              </w:rPr>
              <w:t>（其中使用权面积为</w:t>
            </w:r>
            <w:r>
              <w:rPr>
                <w:rFonts w:hint="default" w:ascii="Times New Roman" w:hAnsi="Times New Roman" w:cs="Times New Roman"/>
                <w:b w:val="0"/>
                <w:bCs w:val="0"/>
                <w:color w:val="auto"/>
                <w:sz w:val="18"/>
                <w:szCs w:val="18"/>
                <w:highlight w:val="none"/>
                <w:vertAlign w:val="baseline"/>
                <w:lang w:val="en-US" w:eastAsia="zh-CN"/>
              </w:rPr>
              <w:t>27648</w:t>
            </w:r>
            <w:r>
              <w:rPr>
                <w:rFonts w:hint="default" w:ascii="Times New Roman" w:hAnsi="Times New Roman" w:eastAsia="宋体" w:cs="Times New Roman"/>
                <w:b w:val="0"/>
                <w:bCs w:val="0"/>
                <w:color w:val="auto"/>
                <w:sz w:val="18"/>
                <w:szCs w:val="18"/>
                <w:highlight w:val="none"/>
                <w:vertAlign w:val="baseline"/>
                <w:lang w:val="en-US" w:eastAsia="zh-CN"/>
              </w:rPr>
              <w:t xml:space="preserve"> </w:t>
            </w:r>
            <w:r>
              <w:rPr>
                <w:rFonts w:hint="eastAsia" w:cs="Times New Roman"/>
                <w:b w:val="0"/>
                <w:bCs w:val="0"/>
                <w:color w:val="auto"/>
                <w:sz w:val="18"/>
                <w:szCs w:val="18"/>
                <w:highlight w:val="none"/>
                <w:vertAlign w:val="baseline"/>
                <w:lang w:val="en-US" w:eastAsia="zh-CN"/>
              </w:rPr>
              <w:t>㎡</w:t>
            </w:r>
            <w:bookmarkStart w:id="29" w:name="_GoBack"/>
            <w:bookmarkEnd w:id="29"/>
            <w:r>
              <w:rPr>
                <w:rFonts w:hint="default" w:ascii="Times New Roman" w:hAnsi="Times New Roman" w:eastAsia="宋体" w:cs="Times New Roman"/>
                <w:b w:val="0"/>
                <w:bCs w:val="0"/>
                <w:color w:val="auto"/>
                <w:sz w:val="18"/>
                <w:szCs w:val="18"/>
                <w:highlight w:val="none"/>
                <w:vertAlign w:val="baseline"/>
                <w:lang w:val="en-US" w:eastAsia="zh-CN"/>
              </w:rPr>
              <w:t>）</w:t>
            </w:r>
          </w:p>
        </w:tc>
        <w:tc>
          <w:tcPr>
            <w:tcW w:w="63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工业用地</w:t>
            </w: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33331</w:t>
            </w:r>
          </w:p>
        </w:tc>
        <w:tc>
          <w:tcPr>
            <w:tcW w:w="7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w:t>
            </w:r>
            <w:r>
              <w:rPr>
                <w:rFonts w:hint="default" w:ascii="Times New Roman" w:hAnsi="Times New Roman" w:eastAsia="宋体" w:cs="Times New Roman"/>
                <w:b w:val="0"/>
                <w:bCs w:val="0"/>
                <w:color w:val="auto"/>
                <w:sz w:val="18"/>
                <w:szCs w:val="18"/>
                <w:highlight w:val="none"/>
                <w:vertAlign w:val="baseline"/>
                <w:lang w:val="en-US" w:eastAsia="zh-CN"/>
              </w:rPr>
              <w:t>≤R≤</w:t>
            </w:r>
            <w:r>
              <w:rPr>
                <w:rFonts w:hint="default" w:ascii="Times New Roman" w:hAnsi="Times New Roman" w:cs="Times New Roman"/>
                <w:b w:val="0"/>
                <w:bCs w:val="0"/>
                <w:color w:val="auto"/>
                <w:sz w:val="18"/>
                <w:szCs w:val="18"/>
                <w:highlight w:val="none"/>
                <w:vertAlign w:val="baseline"/>
                <w:lang w:val="en-US" w:eastAsia="zh-CN"/>
              </w:rPr>
              <w:t>2.5</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6666</w:t>
            </w:r>
            <w:r>
              <w:rPr>
                <w:rFonts w:hint="default" w:ascii="Times New Roman" w:hAnsi="Times New Roman" w:eastAsia="宋体" w:cs="Times New Roman"/>
                <w:b w:val="0"/>
                <w:bCs w:val="0"/>
                <w:color w:val="auto"/>
                <w:sz w:val="18"/>
                <w:szCs w:val="18"/>
                <w:highlight w:val="none"/>
                <w:vertAlign w:val="baseline"/>
                <w:lang w:val="en-US" w:eastAsia="zh-CN"/>
              </w:rPr>
              <w:t>2≤S≤</w:t>
            </w:r>
            <w:r>
              <w:rPr>
                <w:rFonts w:hint="default" w:ascii="Times New Roman" w:hAnsi="Times New Roman" w:cs="Times New Roman"/>
                <w:b w:val="0"/>
                <w:bCs w:val="0"/>
                <w:color w:val="auto"/>
                <w:sz w:val="18"/>
                <w:szCs w:val="18"/>
                <w:highlight w:val="none"/>
                <w:vertAlign w:val="baseline"/>
                <w:lang w:val="en-US" w:eastAsia="zh-CN"/>
              </w:rPr>
              <w:t>83328</w:t>
            </w:r>
          </w:p>
        </w:tc>
        <w:tc>
          <w:tcPr>
            <w:tcW w:w="68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w:t>
            </w:r>
            <w:r>
              <w:rPr>
                <w:rFonts w:hint="default" w:ascii="Times New Roman" w:hAnsi="Times New Roman" w:cs="Times New Roman"/>
                <w:b w:val="0"/>
                <w:bCs w:val="0"/>
                <w:color w:val="auto"/>
                <w:sz w:val="18"/>
                <w:szCs w:val="18"/>
                <w:highlight w:val="none"/>
                <w:vertAlign w:val="baseline"/>
                <w:lang w:val="en-US" w:eastAsia="zh-CN"/>
              </w:rPr>
              <w:t>0</w:t>
            </w:r>
          </w:p>
        </w:tc>
        <w:tc>
          <w:tcPr>
            <w:tcW w:w="85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15</w:t>
            </w:r>
            <w:r>
              <w:rPr>
                <w:rFonts w:hint="default" w:ascii="Times New Roman" w:hAnsi="Times New Roman" w:eastAsia="宋体" w:cs="Times New Roman"/>
                <w:color w:val="auto"/>
                <w:kern w:val="0"/>
                <w:sz w:val="18"/>
                <w:szCs w:val="18"/>
                <w:highlight w:val="none"/>
                <w:lang w:val="en-US" w:eastAsia="zh-CN"/>
              </w:rPr>
              <w:t>≤绿地率≤20</w:t>
            </w:r>
          </w:p>
        </w:tc>
        <w:tc>
          <w:tcPr>
            <w:tcW w:w="124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厂房按每100平方米计容积率建筑面积≥0.3个，行政办公及生活服务设施按每100平方米计容积率建筑面积≥1.0个，配建停车位应按要求建设充电基础设施或预留建设安装条件</w:t>
            </w:r>
          </w:p>
        </w:tc>
        <w:tc>
          <w:tcPr>
            <w:tcW w:w="90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需配建5G通信基站2个，每处基站建筑面积≥35㎡</w:t>
            </w:r>
            <w:r>
              <w:rPr>
                <w:rFonts w:hint="default" w:ascii="Times New Roman" w:hAnsi="Times New Roman"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val="en-US" w:eastAsia="zh-CN"/>
              </w:rPr>
              <w:t>行政办公及生活服务配套设施用地面积不得超过总用地面积的7%</w:t>
            </w:r>
          </w:p>
        </w:tc>
        <w:tc>
          <w:tcPr>
            <w:tcW w:w="80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50</w:t>
            </w:r>
          </w:p>
        </w:tc>
        <w:tc>
          <w:tcPr>
            <w:tcW w:w="85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3474</w:t>
            </w:r>
          </w:p>
        </w:tc>
        <w:tc>
          <w:tcPr>
            <w:tcW w:w="88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35</w:t>
            </w:r>
          </w:p>
        </w:tc>
        <w:tc>
          <w:tcPr>
            <w:tcW w:w="86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695</w:t>
            </w:r>
          </w:p>
        </w:tc>
        <w:tc>
          <w:tcPr>
            <w:tcW w:w="730"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Times New Roman" w:cs="Times New Roman"/>
                <w:sz w:val="20"/>
                <w:szCs w:val="20"/>
                <w:lang w:val="en-US" w:eastAsia="zh-CN"/>
              </w:rPr>
              <w:t>2022年11月3日9时</w:t>
            </w:r>
          </w:p>
        </w:tc>
        <w:tc>
          <w:tcPr>
            <w:tcW w:w="95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13500</w:t>
            </w:r>
            <w:r>
              <w:rPr>
                <w:rFonts w:hint="eastAsia" w:cs="Times New Roman"/>
                <w:b w:val="0"/>
                <w:bCs w:val="0"/>
                <w:color w:val="auto"/>
                <w:sz w:val="18"/>
                <w:szCs w:val="18"/>
                <w:highlight w:val="none"/>
                <w:vertAlign w:val="baseline"/>
                <w:lang w:val="en-US" w:eastAsia="zh-CN"/>
              </w:rPr>
              <w:t>万</w:t>
            </w:r>
            <w:r>
              <w:rPr>
                <w:rFonts w:hint="default" w:ascii="Times New Roman" w:hAnsi="Times New Roman" w:eastAsia="宋体" w:cs="Times New Roman"/>
                <w:b w:val="0"/>
                <w:bCs w:val="0"/>
                <w:color w:val="auto"/>
                <w:sz w:val="18"/>
                <w:szCs w:val="18"/>
                <w:highlight w:val="none"/>
                <w:vertAlign w:val="baseline"/>
                <w:lang w:val="en-US" w:eastAsia="zh-CN"/>
              </w:rPr>
              <w:t>元/</w:t>
            </w:r>
            <w:r>
              <w:rPr>
                <w:rFonts w:hint="eastAsia" w:cs="Times New Roman"/>
                <w:b w:val="0"/>
                <w:bCs w:val="0"/>
                <w:color w:val="auto"/>
                <w:sz w:val="18"/>
                <w:szCs w:val="18"/>
                <w:highlight w:val="none"/>
                <w:vertAlign w:val="baseline"/>
                <w:lang w:val="en-US" w:eastAsia="zh-CN"/>
              </w:rPr>
              <w:t>公顷</w:t>
            </w:r>
          </w:p>
        </w:tc>
        <w:tc>
          <w:tcPr>
            <w:tcW w:w="101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开发区、产业集聚区配套公共服务平台建设与服务</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b w:val="0"/>
          <w:bCs w:val="0"/>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p>
      <w:pPr>
        <w:keepNext w:val="0"/>
        <w:keepLines w:val="0"/>
        <w:pageBreakBefore w:val="0"/>
        <w:kinsoku/>
        <w:wordWrap/>
        <w:overflowPunct/>
        <w:topLinePunct w:val="0"/>
        <w:bidi w:val="0"/>
        <w:spacing w:line="520" w:lineRule="exact"/>
        <w:textAlignment w:val="auto"/>
        <w:rPr>
          <w:rFonts w:hint="default" w:ascii="Times New Roman" w:hAnsi="Times New Roman" w:eastAsia="仿宋_GB2312" w:cs="Times New Roman"/>
          <w:b w:val="0"/>
          <w:bCs w:val="0"/>
          <w:color w:val="auto"/>
          <w:sz w:val="32"/>
          <w:szCs w:val="32"/>
          <w:highlight w:val="none"/>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BmMzNiYjBlYTI5MDA3YTcxNzUzODBiMjYzNjM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0E6025"/>
    <w:rsid w:val="012F32FC"/>
    <w:rsid w:val="01A836F9"/>
    <w:rsid w:val="02421D02"/>
    <w:rsid w:val="038C1DF1"/>
    <w:rsid w:val="039F6E44"/>
    <w:rsid w:val="03AE4A12"/>
    <w:rsid w:val="048A0C4C"/>
    <w:rsid w:val="04AA17FE"/>
    <w:rsid w:val="05F54D6D"/>
    <w:rsid w:val="067362EB"/>
    <w:rsid w:val="068117B6"/>
    <w:rsid w:val="06C26A7A"/>
    <w:rsid w:val="075570AE"/>
    <w:rsid w:val="07E4525D"/>
    <w:rsid w:val="09402008"/>
    <w:rsid w:val="09B315DE"/>
    <w:rsid w:val="09EE122C"/>
    <w:rsid w:val="0A1E2AE2"/>
    <w:rsid w:val="0AE876EE"/>
    <w:rsid w:val="0C8122D4"/>
    <w:rsid w:val="0CAD1C6D"/>
    <w:rsid w:val="0CE4226E"/>
    <w:rsid w:val="0DD737A7"/>
    <w:rsid w:val="0E1D2DC4"/>
    <w:rsid w:val="0E2071F3"/>
    <w:rsid w:val="0E2C2AB5"/>
    <w:rsid w:val="0E4D7DC4"/>
    <w:rsid w:val="0E552A43"/>
    <w:rsid w:val="0E691595"/>
    <w:rsid w:val="101713C8"/>
    <w:rsid w:val="102713DB"/>
    <w:rsid w:val="10687CF5"/>
    <w:rsid w:val="10D917CA"/>
    <w:rsid w:val="110903F6"/>
    <w:rsid w:val="11456B59"/>
    <w:rsid w:val="11871C18"/>
    <w:rsid w:val="11A71763"/>
    <w:rsid w:val="11AE5AAA"/>
    <w:rsid w:val="12957422"/>
    <w:rsid w:val="12AD5836"/>
    <w:rsid w:val="12C92A41"/>
    <w:rsid w:val="12FD7D69"/>
    <w:rsid w:val="13055F11"/>
    <w:rsid w:val="136E7A5D"/>
    <w:rsid w:val="13DC2CB8"/>
    <w:rsid w:val="14221D35"/>
    <w:rsid w:val="15C97374"/>
    <w:rsid w:val="166F2BF1"/>
    <w:rsid w:val="16F05BC2"/>
    <w:rsid w:val="171E6442"/>
    <w:rsid w:val="17874DAF"/>
    <w:rsid w:val="1794192C"/>
    <w:rsid w:val="17EA1735"/>
    <w:rsid w:val="17FC1602"/>
    <w:rsid w:val="18613BC1"/>
    <w:rsid w:val="187E669C"/>
    <w:rsid w:val="18C92B9F"/>
    <w:rsid w:val="18F7132C"/>
    <w:rsid w:val="19267A1B"/>
    <w:rsid w:val="19CD3D1D"/>
    <w:rsid w:val="1A31098E"/>
    <w:rsid w:val="1AFA71C6"/>
    <w:rsid w:val="1B1E785A"/>
    <w:rsid w:val="1B261919"/>
    <w:rsid w:val="1B2A00D1"/>
    <w:rsid w:val="1BBC1607"/>
    <w:rsid w:val="1BE73F47"/>
    <w:rsid w:val="1C024584"/>
    <w:rsid w:val="1C9A1178"/>
    <w:rsid w:val="1D097D20"/>
    <w:rsid w:val="1D5C4003"/>
    <w:rsid w:val="1D6F464E"/>
    <w:rsid w:val="1D9E5A0C"/>
    <w:rsid w:val="1E904230"/>
    <w:rsid w:val="1EA56328"/>
    <w:rsid w:val="1EDD4E34"/>
    <w:rsid w:val="1F5F4A4E"/>
    <w:rsid w:val="1FB504FE"/>
    <w:rsid w:val="1FE77AEB"/>
    <w:rsid w:val="1FFA383F"/>
    <w:rsid w:val="207F541D"/>
    <w:rsid w:val="20990B2A"/>
    <w:rsid w:val="20AB6596"/>
    <w:rsid w:val="21264E5A"/>
    <w:rsid w:val="224E20DB"/>
    <w:rsid w:val="22845047"/>
    <w:rsid w:val="22937891"/>
    <w:rsid w:val="229D5685"/>
    <w:rsid w:val="22D05BCD"/>
    <w:rsid w:val="237161ED"/>
    <w:rsid w:val="24610AB5"/>
    <w:rsid w:val="24C5659C"/>
    <w:rsid w:val="250733D2"/>
    <w:rsid w:val="250E39D7"/>
    <w:rsid w:val="26D81FCD"/>
    <w:rsid w:val="27BC0E8D"/>
    <w:rsid w:val="285B64DE"/>
    <w:rsid w:val="288E613F"/>
    <w:rsid w:val="28951D46"/>
    <w:rsid w:val="29721939"/>
    <w:rsid w:val="29E1316E"/>
    <w:rsid w:val="29F80FE7"/>
    <w:rsid w:val="2AC93E57"/>
    <w:rsid w:val="2BE7051D"/>
    <w:rsid w:val="2C4B24F8"/>
    <w:rsid w:val="2D930E3D"/>
    <w:rsid w:val="2E134FFF"/>
    <w:rsid w:val="2EAC2783"/>
    <w:rsid w:val="2EDA6C9B"/>
    <w:rsid w:val="2F220213"/>
    <w:rsid w:val="2F442A87"/>
    <w:rsid w:val="2FE853E7"/>
    <w:rsid w:val="2FF53957"/>
    <w:rsid w:val="303845C1"/>
    <w:rsid w:val="306E2102"/>
    <w:rsid w:val="30731155"/>
    <w:rsid w:val="30877118"/>
    <w:rsid w:val="31575D41"/>
    <w:rsid w:val="31B372D4"/>
    <w:rsid w:val="31D86DCF"/>
    <w:rsid w:val="31EB11BF"/>
    <w:rsid w:val="32150B1E"/>
    <w:rsid w:val="337563F9"/>
    <w:rsid w:val="34013B56"/>
    <w:rsid w:val="342019D5"/>
    <w:rsid w:val="346C251E"/>
    <w:rsid w:val="35A767A8"/>
    <w:rsid w:val="35CC1B7F"/>
    <w:rsid w:val="36237854"/>
    <w:rsid w:val="36487787"/>
    <w:rsid w:val="36792309"/>
    <w:rsid w:val="36B32239"/>
    <w:rsid w:val="36B610CD"/>
    <w:rsid w:val="373F3F75"/>
    <w:rsid w:val="37723635"/>
    <w:rsid w:val="37D331D6"/>
    <w:rsid w:val="383718CB"/>
    <w:rsid w:val="386A7C63"/>
    <w:rsid w:val="38AF57A2"/>
    <w:rsid w:val="38CA6196"/>
    <w:rsid w:val="38F15DFA"/>
    <w:rsid w:val="38FC729A"/>
    <w:rsid w:val="39E9024F"/>
    <w:rsid w:val="39FA4D33"/>
    <w:rsid w:val="3A3711CB"/>
    <w:rsid w:val="3A5C1D13"/>
    <w:rsid w:val="3A5C1E5A"/>
    <w:rsid w:val="3A9B67B2"/>
    <w:rsid w:val="3AD66858"/>
    <w:rsid w:val="3B34068A"/>
    <w:rsid w:val="3B9610F4"/>
    <w:rsid w:val="3BB71C2D"/>
    <w:rsid w:val="3BD61A36"/>
    <w:rsid w:val="3BF67651"/>
    <w:rsid w:val="3BFE66BE"/>
    <w:rsid w:val="3C0318E0"/>
    <w:rsid w:val="3D152C6B"/>
    <w:rsid w:val="3D4113F0"/>
    <w:rsid w:val="3D694A1F"/>
    <w:rsid w:val="3E092A52"/>
    <w:rsid w:val="3E7F648D"/>
    <w:rsid w:val="3EBE4111"/>
    <w:rsid w:val="3EC318D5"/>
    <w:rsid w:val="3F142B57"/>
    <w:rsid w:val="3F1A7FAA"/>
    <w:rsid w:val="3F3E0AB4"/>
    <w:rsid w:val="3F984213"/>
    <w:rsid w:val="3FA952A0"/>
    <w:rsid w:val="3FC93E3E"/>
    <w:rsid w:val="402B776A"/>
    <w:rsid w:val="40A30DAA"/>
    <w:rsid w:val="41572450"/>
    <w:rsid w:val="4186034B"/>
    <w:rsid w:val="428E2D29"/>
    <w:rsid w:val="429C7B55"/>
    <w:rsid w:val="42B321AA"/>
    <w:rsid w:val="433E3A34"/>
    <w:rsid w:val="43621D5E"/>
    <w:rsid w:val="43D3409E"/>
    <w:rsid w:val="43D91C59"/>
    <w:rsid w:val="44A86E9A"/>
    <w:rsid w:val="44F71BF5"/>
    <w:rsid w:val="45176E5E"/>
    <w:rsid w:val="45696BDB"/>
    <w:rsid w:val="45D96905"/>
    <w:rsid w:val="465B0945"/>
    <w:rsid w:val="46C925E7"/>
    <w:rsid w:val="47112BE0"/>
    <w:rsid w:val="47512873"/>
    <w:rsid w:val="480F1ECA"/>
    <w:rsid w:val="48526CD7"/>
    <w:rsid w:val="485F7432"/>
    <w:rsid w:val="486B4F45"/>
    <w:rsid w:val="488A3AE1"/>
    <w:rsid w:val="48AA6498"/>
    <w:rsid w:val="48AD19E8"/>
    <w:rsid w:val="48BA7DF9"/>
    <w:rsid w:val="48E51899"/>
    <w:rsid w:val="49956A4F"/>
    <w:rsid w:val="4A730934"/>
    <w:rsid w:val="4B1977A0"/>
    <w:rsid w:val="4B4F18E5"/>
    <w:rsid w:val="4B8E2BB5"/>
    <w:rsid w:val="4BCA492F"/>
    <w:rsid w:val="4BDD0C15"/>
    <w:rsid w:val="4C367EE2"/>
    <w:rsid w:val="4C3E0A00"/>
    <w:rsid w:val="4CA65793"/>
    <w:rsid w:val="4D8A139E"/>
    <w:rsid w:val="4DFB59B1"/>
    <w:rsid w:val="4E106724"/>
    <w:rsid w:val="4E323591"/>
    <w:rsid w:val="4E5B22DE"/>
    <w:rsid w:val="4E660826"/>
    <w:rsid w:val="4E843E20"/>
    <w:rsid w:val="4F42590E"/>
    <w:rsid w:val="4FB870F0"/>
    <w:rsid w:val="505D65A7"/>
    <w:rsid w:val="508C5CA4"/>
    <w:rsid w:val="50A207F3"/>
    <w:rsid w:val="51615AE8"/>
    <w:rsid w:val="52146C75"/>
    <w:rsid w:val="52400BAA"/>
    <w:rsid w:val="52504441"/>
    <w:rsid w:val="52EC3EDC"/>
    <w:rsid w:val="5316652D"/>
    <w:rsid w:val="53B134B9"/>
    <w:rsid w:val="53BD4A78"/>
    <w:rsid w:val="53D85335"/>
    <w:rsid w:val="5544476F"/>
    <w:rsid w:val="57874BC1"/>
    <w:rsid w:val="578A33CF"/>
    <w:rsid w:val="5807448D"/>
    <w:rsid w:val="581F1941"/>
    <w:rsid w:val="582C6E15"/>
    <w:rsid w:val="587648D0"/>
    <w:rsid w:val="58D008AE"/>
    <w:rsid w:val="596F60AE"/>
    <w:rsid w:val="59702A4C"/>
    <w:rsid w:val="59B92E76"/>
    <w:rsid w:val="5A03106A"/>
    <w:rsid w:val="5A67589B"/>
    <w:rsid w:val="5A9E0341"/>
    <w:rsid w:val="5B2F1EEB"/>
    <w:rsid w:val="5B302BC9"/>
    <w:rsid w:val="5B745643"/>
    <w:rsid w:val="5BA16343"/>
    <w:rsid w:val="5C263CAD"/>
    <w:rsid w:val="5C4B2E5B"/>
    <w:rsid w:val="5C8578BA"/>
    <w:rsid w:val="5D027E7E"/>
    <w:rsid w:val="5D2B48B4"/>
    <w:rsid w:val="5F070F9B"/>
    <w:rsid w:val="5F300F59"/>
    <w:rsid w:val="5F356E47"/>
    <w:rsid w:val="5FCF5D35"/>
    <w:rsid w:val="60B91507"/>
    <w:rsid w:val="616B0C9C"/>
    <w:rsid w:val="624B097D"/>
    <w:rsid w:val="62844F25"/>
    <w:rsid w:val="64084C3D"/>
    <w:rsid w:val="64C957CC"/>
    <w:rsid w:val="65A83CC5"/>
    <w:rsid w:val="65E92BE6"/>
    <w:rsid w:val="671125BE"/>
    <w:rsid w:val="6732696D"/>
    <w:rsid w:val="67397F81"/>
    <w:rsid w:val="678C30B6"/>
    <w:rsid w:val="67E26E3A"/>
    <w:rsid w:val="67E9034C"/>
    <w:rsid w:val="683F3018"/>
    <w:rsid w:val="684568B6"/>
    <w:rsid w:val="685B3667"/>
    <w:rsid w:val="68BD0B09"/>
    <w:rsid w:val="68CD7763"/>
    <w:rsid w:val="69AF165C"/>
    <w:rsid w:val="69D07B34"/>
    <w:rsid w:val="69E14465"/>
    <w:rsid w:val="6A231718"/>
    <w:rsid w:val="6A310DD3"/>
    <w:rsid w:val="6A4F4329"/>
    <w:rsid w:val="6AAF66D6"/>
    <w:rsid w:val="6AF12B3E"/>
    <w:rsid w:val="6C826573"/>
    <w:rsid w:val="6C8919B8"/>
    <w:rsid w:val="6CE76051"/>
    <w:rsid w:val="6DCF61FF"/>
    <w:rsid w:val="6E3755C1"/>
    <w:rsid w:val="6E640DD3"/>
    <w:rsid w:val="6E64260C"/>
    <w:rsid w:val="6E914841"/>
    <w:rsid w:val="6EB1052D"/>
    <w:rsid w:val="6EC317CE"/>
    <w:rsid w:val="6FA608C2"/>
    <w:rsid w:val="702B6AFE"/>
    <w:rsid w:val="70A14AF9"/>
    <w:rsid w:val="711B05E7"/>
    <w:rsid w:val="71576811"/>
    <w:rsid w:val="7165235D"/>
    <w:rsid w:val="71BD016F"/>
    <w:rsid w:val="71CF0BED"/>
    <w:rsid w:val="71D66846"/>
    <w:rsid w:val="723C3332"/>
    <w:rsid w:val="7252271D"/>
    <w:rsid w:val="726873F0"/>
    <w:rsid w:val="729D59B3"/>
    <w:rsid w:val="731759FD"/>
    <w:rsid w:val="734164C7"/>
    <w:rsid w:val="73B07597"/>
    <w:rsid w:val="74611F35"/>
    <w:rsid w:val="746E7275"/>
    <w:rsid w:val="74D80B53"/>
    <w:rsid w:val="751A7E63"/>
    <w:rsid w:val="75400B60"/>
    <w:rsid w:val="754A20F0"/>
    <w:rsid w:val="756562E8"/>
    <w:rsid w:val="76406DC8"/>
    <w:rsid w:val="76AC6A44"/>
    <w:rsid w:val="76B040EE"/>
    <w:rsid w:val="76DB3663"/>
    <w:rsid w:val="778B6418"/>
    <w:rsid w:val="77913746"/>
    <w:rsid w:val="779A0D22"/>
    <w:rsid w:val="77AA0343"/>
    <w:rsid w:val="7872306D"/>
    <w:rsid w:val="78C863CB"/>
    <w:rsid w:val="792B6181"/>
    <w:rsid w:val="7A3B2D26"/>
    <w:rsid w:val="7A404208"/>
    <w:rsid w:val="7A436452"/>
    <w:rsid w:val="7A6A3136"/>
    <w:rsid w:val="7A9439F5"/>
    <w:rsid w:val="7ACD37A8"/>
    <w:rsid w:val="7AFD1570"/>
    <w:rsid w:val="7B6E62FB"/>
    <w:rsid w:val="7BEB1842"/>
    <w:rsid w:val="7C187EC4"/>
    <w:rsid w:val="7CDB5FF9"/>
    <w:rsid w:val="7D4A7AE5"/>
    <w:rsid w:val="7D810E5F"/>
    <w:rsid w:val="7D84768B"/>
    <w:rsid w:val="7DD86538"/>
    <w:rsid w:val="7E0D600E"/>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7AB7"/>
      <w:u w:val="none"/>
    </w:rPr>
  </w:style>
  <w:style w:type="character" w:styleId="14">
    <w:name w:val="HTML Definition"/>
    <w:basedOn w:val="10"/>
    <w:semiHidden/>
    <w:unhideWhenUsed/>
    <w:qFormat/>
    <w:uiPriority w:val="99"/>
    <w:rPr>
      <w:i/>
    </w:rPr>
  </w:style>
  <w:style w:type="character" w:styleId="15">
    <w:name w:val="Hyperlink"/>
    <w:basedOn w:val="10"/>
    <w:semiHidden/>
    <w:unhideWhenUsed/>
    <w:qFormat/>
    <w:uiPriority w:val="99"/>
    <w:rPr>
      <w:color w:val="337AB7"/>
      <w:u w:val="none"/>
    </w:rPr>
  </w:style>
  <w:style w:type="character" w:styleId="16">
    <w:name w:val="HTML Code"/>
    <w:basedOn w:val="10"/>
    <w:semiHidden/>
    <w:unhideWhenUsed/>
    <w:qFormat/>
    <w:uiPriority w:val="99"/>
    <w:rPr>
      <w:rFonts w:ascii="Consolas" w:hAnsi="Consolas" w:eastAsia="Consolas" w:cs="Consolas"/>
      <w:color w:val="C7254E"/>
      <w:sz w:val="21"/>
      <w:szCs w:val="21"/>
      <w:shd w:val="clear"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10"/>
    <w:semiHidden/>
    <w:unhideWhenUsed/>
    <w:qFormat/>
    <w:uiPriority w:val="99"/>
    <w:rPr>
      <w:rFonts w:hint="default" w:ascii="Consolas" w:hAnsi="Consolas" w:eastAsia="Consolas" w:cs="Consolas"/>
      <w:sz w:val="21"/>
      <w:szCs w:val="21"/>
    </w:rPr>
  </w:style>
  <w:style w:type="paragraph" w:customStyle="1" w:styleId="19">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customStyle="1" w:styleId="20">
    <w:name w:val="批注文字 New New"/>
    <w:basedOn w:val="1"/>
    <w:qFormat/>
    <w:uiPriority w:val="0"/>
    <w:pPr>
      <w:jc w:val="left"/>
    </w:pPr>
    <w:rPr>
      <w:szCs w:val="20"/>
    </w:rPr>
  </w:style>
  <w:style w:type="character" w:customStyle="1" w:styleId="21">
    <w:name w:val="页眉 Char"/>
    <w:basedOn w:val="10"/>
    <w:link w:val="7"/>
    <w:semiHidden/>
    <w:qFormat/>
    <w:uiPriority w:val="99"/>
    <w:rPr>
      <w:rFonts w:ascii="Times New Roman" w:hAnsi="Times New Roman" w:eastAsia="宋体" w:cs="Times New Roman"/>
      <w:sz w:val="18"/>
      <w:szCs w:val="18"/>
    </w:rPr>
  </w:style>
  <w:style w:type="character" w:customStyle="1" w:styleId="22">
    <w:name w:val="页脚 Char"/>
    <w:basedOn w:val="10"/>
    <w:link w:val="6"/>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10"/>
    <w:qFormat/>
    <w:uiPriority w:val="0"/>
  </w:style>
  <w:style w:type="character" w:customStyle="1" w:styleId="26">
    <w:name w:val="layui-layer-tabnow"/>
    <w:basedOn w:val="10"/>
    <w:qFormat/>
    <w:uiPriority w:val="0"/>
    <w:rPr>
      <w:bdr w:val="single" w:color="CCCCCC" w:sz="6" w:space="0"/>
      <w:shd w:val="clear" w:fill="FFFFFF"/>
    </w:rPr>
  </w:style>
  <w:style w:type="character" w:customStyle="1" w:styleId="27">
    <w:name w:val="first-child"/>
    <w:basedOn w:val="10"/>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10"/>
    <w:qFormat/>
    <w:uiPriority w:val="0"/>
  </w:style>
  <w:style w:type="paragraph" w:customStyle="1" w:styleId="31">
    <w:name w:val="p0"/>
    <w:basedOn w:val="1"/>
    <w:qFormat/>
    <w:uiPriority w:val="0"/>
    <w:pPr>
      <w:widowControl/>
    </w:pPr>
    <w:rPr>
      <w:kern w:val="0"/>
      <w:szCs w:val="21"/>
    </w:rPr>
  </w:style>
  <w:style w:type="paragraph" w:customStyle="1" w:styleId="32">
    <w:name w:val="Body text|2"/>
    <w:basedOn w:val="1"/>
    <w:qFormat/>
    <w:uiPriority w:val="0"/>
    <w:pPr>
      <w:widowControl w:val="0"/>
      <w:shd w:val="clear" w:color="auto" w:fill="auto"/>
      <w:spacing w:after="540"/>
      <w:jc w:val="center"/>
    </w:pPr>
    <w:rPr>
      <w:sz w:val="32"/>
      <w:szCs w:val="32"/>
      <w:u w:val="none"/>
      <w:shd w:val="clear" w:color="auto" w:fill="auto"/>
    </w:rPr>
  </w:style>
  <w:style w:type="paragraph" w:customStyle="1" w:styleId="3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3229</Words>
  <Characters>3578</Characters>
  <Lines>27</Lines>
  <Paragraphs>7</Paragraphs>
  <TotalTime>32</TotalTime>
  <ScaleCrop>false</ScaleCrop>
  <LinksUpToDate>false</LinksUpToDate>
  <CharactersWithSpaces>3605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张懿南</cp:lastModifiedBy>
  <cp:lastPrinted>2022-09-29T11:07:00Z</cp:lastPrinted>
  <dcterms:modified xsi:type="dcterms:W3CDTF">2022-09-29T15:34:58Z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369DDC2CB4F2450B95B362B40851B49D</vt:lpwstr>
  </property>
</Properties>
</file>